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B67" w:rsidRDefault="004F4B67" w:rsidP="004F4B67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  <w:lang w:eastAsia="zh-CN"/>
        </w:rPr>
        <w:t>R4-170</w:t>
      </w:r>
      <w:r>
        <w:rPr>
          <w:b/>
          <w:noProof/>
          <w:sz w:val="28"/>
          <w:lang w:eastAsia="zh-CN"/>
        </w:rPr>
        <w:t>6025</w:t>
      </w:r>
      <w:bookmarkStart w:id="0" w:name="_GoBack"/>
      <w:bookmarkEnd w:id="0"/>
    </w:p>
    <w:p w:rsidR="004F4B67" w:rsidRDefault="004F4B67" w:rsidP="004F4B67">
      <w:pPr>
        <w:pStyle w:val="Header"/>
        <w:jc w:val="both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Hangzhou, China, 15 - 19 May, 2017</w:t>
      </w:r>
    </w:p>
    <w:p w:rsidR="004F4B67" w:rsidRDefault="004F4B67" w:rsidP="004F4B67">
      <w:pPr>
        <w:pStyle w:val="Header"/>
        <w:jc w:val="both"/>
        <w:rPr>
          <w:noProof w:val="0"/>
          <w:szCs w:val="20"/>
          <w:lang w:val="en-GB"/>
        </w:rPr>
      </w:pPr>
    </w:p>
    <w:p w:rsidR="004F4B67" w:rsidRDefault="004F4B67" w:rsidP="004F4B67">
      <w:pPr>
        <w:pStyle w:val="Footer"/>
        <w:jc w:val="both"/>
        <w:rPr>
          <w:noProof w:val="0"/>
          <w:lang w:val="en-GB"/>
        </w:rPr>
      </w:pPr>
    </w:p>
    <w:p w:rsidR="004F4B67" w:rsidRDefault="004F4B67" w:rsidP="004F4B67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7.26</w:t>
      </w:r>
    </w:p>
    <w:p w:rsidR="004F4B67" w:rsidRDefault="004F4B67" w:rsidP="004F4B67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:rsidR="004F4B67" w:rsidRDefault="004F4B67" w:rsidP="004F4B6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Meeting minutes for measurement gap enhancement WI</w:t>
      </w:r>
    </w:p>
    <w:p w:rsidR="004F4B67" w:rsidRDefault="004F4B67" w:rsidP="004F4B6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Approval</w:t>
      </w:r>
    </w:p>
    <w:p w:rsidR="004F4B67" w:rsidRPr="004F4B67" w:rsidRDefault="004F4B67" w:rsidP="004F4B67">
      <w:pPr>
        <w:pStyle w:val="Heading1"/>
        <w:rPr>
          <w:rFonts w:eastAsia="MS Mincho"/>
          <w:sz w:val="32"/>
          <w:lang w:val="en-US"/>
        </w:rPr>
      </w:pPr>
      <w:r w:rsidRPr="004F4B67">
        <w:rPr>
          <w:rFonts w:eastAsia="MS Mincho"/>
          <w:sz w:val="32"/>
          <w:lang w:val="en-US"/>
        </w:rPr>
        <w:t>Reply LS to RAN2 on NCSG application</w:t>
      </w:r>
    </w:p>
    <w:p w:rsidR="00616614" w:rsidRDefault="00616614" w:rsidP="00616614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discussed the RAN2 LS and reached the following agreement: </w:t>
      </w:r>
    </w:p>
    <w:p w:rsidR="0097381F" w:rsidRDefault="0097381F" w:rsidP="00F75D1B">
      <w:pPr>
        <w:spacing w:after="180" w:line="240" w:lineRule="auto"/>
        <w:ind w:left="360"/>
        <w:jc w:val="both"/>
        <w:rPr>
          <w:rFonts w:ascii="Arial" w:eastAsia="Times New Roman" w:hAnsi="Arial" w:cs="Arial"/>
          <w:highlight w:val="green"/>
        </w:rPr>
      </w:pPr>
      <w:r>
        <w:rPr>
          <w:rFonts w:ascii="Arial" w:eastAsia="Times New Roman" w:hAnsi="Arial" w:cs="Arial"/>
          <w:highlight w:val="green"/>
        </w:rPr>
        <w:t>Agreement:</w:t>
      </w:r>
    </w:p>
    <w:p w:rsidR="00616614" w:rsidRPr="0097381F" w:rsidRDefault="00616614" w:rsidP="00F75D1B">
      <w:pPr>
        <w:spacing w:after="180" w:line="240" w:lineRule="auto"/>
        <w:ind w:left="360"/>
        <w:jc w:val="both"/>
        <w:rPr>
          <w:rFonts w:ascii="Arial" w:eastAsia="Times New Roman" w:hAnsi="Arial" w:cs="Arial"/>
          <w:highlight w:val="green"/>
        </w:rPr>
      </w:pPr>
      <w:r w:rsidRPr="0097381F">
        <w:rPr>
          <w:rFonts w:ascii="Arial" w:eastAsia="Times New Roman" w:hAnsi="Arial" w:cs="Arial"/>
          <w:highlight w:val="green"/>
        </w:rPr>
        <w:t>NCSG is also applicable to non-CA case.</w:t>
      </w:r>
    </w:p>
    <w:p w:rsidR="00616614" w:rsidRPr="0097381F" w:rsidRDefault="00616614" w:rsidP="00F75D1B">
      <w:pPr>
        <w:spacing w:after="180" w:line="240" w:lineRule="auto"/>
        <w:ind w:left="360"/>
        <w:jc w:val="both"/>
        <w:rPr>
          <w:rFonts w:ascii="Arial" w:eastAsia="Times New Roman" w:hAnsi="Arial" w:cs="Arial"/>
          <w:highlight w:val="green"/>
        </w:rPr>
      </w:pPr>
      <w:r w:rsidRPr="0097381F">
        <w:rPr>
          <w:rFonts w:ascii="Arial" w:eastAsia="Times New Roman" w:hAnsi="Arial" w:cs="Arial"/>
          <w:highlight w:val="green"/>
        </w:rPr>
        <w:t>NCSG can be configured, for the inter-frequency/inter-RAT measurement when a UE is capable of performing such measurement without gap, but needs interruption, and:</w:t>
      </w:r>
    </w:p>
    <w:p w:rsidR="00F75D1B" w:rsidRPr="0097381F" w:rsidRDefault="00F75D1B" w:rsidP="00F75D1B">
      <w:pPr>
        <w:pStyle w:val="ListParagraph"/>
        <w:numPr>
          <w:ilvl w:val="0"/>
          <w:numId w:val="3"/>
        </w:numPr>
        <w:spacing w:after="180" w:line="240" w:lineRule="auto"/>
        <w:jc w:val="both"/>
        <w:rPr>
          <w:rFonts w:ascii="Arial" w:eastAsia="Times New Roman" w:hAnsi="Arial" w:cs="Arial"/>
          <w:highlight w:val="green"/>
        </w:rPr>
      </w:pPr>
      <w:r w:rsidRPr="0097381F">
        <w:rPr>
          <w:rFonts w:ascii="Arial" w:eastAsia="Times New Roman" w:hAnsi="Arial" w:cs="Arial"/>
          <w:highlight w:val="green"/>
        </w:rPr>
        <w:t xml:space="preserve">RAN4 considers NCSG as per-UE gap pattern </w:t>
      </w:r>
      <w:r w:rsidR="0097381F">
        <w:rPr>
          <w:rFonts w:ascii="Arial" w:eastAsia="Times New Roman" w:hAnsi="Arial" w:cs="Arial"/>
          <w:highlight w:val="green"/>
        </w:rPr>
        <w:t xml:space="preserve">for non-CA cases </w:t>
      </w:r>
      <w:r w:rsidR="0097381F" w:rsidRPr="0097381F">
        <w:rPr>
          <w:rFonts w:ascii="Arial" w:eastAsia="Times New Roman" w:hAnsi="Arial" w:cs="Arial"/>
          <w:highlight w:val="green"/>
        </w:rPr>
        <w:t xml:space="preserve">or when per-CC </w:t>
      </w:r>
      <w:r w:rsidR="0097381F">
        <w:rPr>
          <w:rFonts w:ascii="Arial" w:eastAsia="Times New Roman" w:hAnsi="Arial" w:cs="Arial"/>
          <w:highlight w:val="green"/>
        </w:rPr>
        <w:t xml:space="preserve">gap </w:t>
      </w:r>
      <w:r w:rsidR="0097381F" w:rsidRPr="0097381F">
        <w:rPr>
          <w:rFonts w:ascii="Arial" w:eastAsia="Times New Roman" w:hAnsi="Arial" w:cs="Arial"/>
          <w:highlight w:val="green"/>
        </w:rPr>
        <w:t>is not</w:t>
      </w:r>
      <w:r w:rsidR="0097381F">
        <w:rPr>
          <w:rFonts w:ascii="Arial" w:eastAsia="Times New Roman" w:hAnsi="Arial" w:cs="Arial"/>
          <w:highlight w:val="green"/>
        </w:rPr>
        <w:t xml:space="preserve"> configured.</w:t>
      </w:r>
    </w:p>
    <w:p w:rsidR="00F75D1B" w:rsidRPr="00F75D1B" w:rsidRDefault="00F75D1B" w:rsidP="00F75D1B">
      <w:pPr>
        <w:spacing w:after="180" w:line="240" w:lineRule="auto"/>
        <w:ind w:left="720"/>
        <w:jc w:val="both"/>
        <w:rPr>
          <w:rFonts w:ascii="Arial" w:eastAsia="Times New Roman" w:hAnsi="Arial" w:cs="Arial"/>
        </w:rPr>
      </w:pPr>
      <w:r w:rsidRPr="00F75D1B">
        <w:rPr>
          <w:rFonts w:ascii="Arial" w:eastAsia="Times New Roman" w:hAnsi="Arial" w:cs="Arial"/>
        </w:rPr>
        <w:t>Agreement:</w:t>
      </w:r>
    </w:p>
    <w:p w:rsidR="00AE527A" w:rsidRDefault="00AE527A" w:rsidP="00AE527A">
      <w:pPr>
        <w:pStyle w:val="ListParagraph"/>
        <w:numPr>
          <w:ilvl w:val="0"/>
          <w:numId w:val="1"/>
        </w:numPr>
      </w:pPr>
      <w:r>
        <w:t>Per-CC test cases</w:t>
      </w:r>
    </w:p>
    <w:p w:rsidR="00AE527A" w:rsidRDefault="00AE527A" w:rsidP="00AE527A">
      <w:pPr>
        <w:pStyle w:val="ListParagraph"/>
        <w:numPr>
          <w:ilvl w:val="1"/>
          <w:numId w:val="1"/>
        </w:numPr>
      </w:pPr>
      <w:r>
        <w:t>Case 1:</w:t>
      </w:r>
      <w:r w:rsidR="00F33755">
        <w:t xml:space="preserve"> P</w:t>
      </w:r>
      <w:r>
        <w:t>arallel measurement wi</w:t>
      </w:r>
      <w:r w:rsidR="00F33755">
        <w:t>th identical gap configured</w:t>
      </w:r>
    </w:p>
    <w:p w:rsidR="00F33755" w:rsidRDefault="00F33755" w:rsidP="00F33755">
      <w:pPr>
        <w:pStyle w:val="ListParagraph"/>
        <w:numPr>
          <w:ilvl w:val="2"/>
          <w:numId w:val="1"/>
        </w:numPr>
      </w:pPr>
      <w:r>
        <w:t>Test setup:</w:t>
      </w:r>
    </w:p>
    <w:p w:rsidR="00F33755" w:rsidRDefault="00F33755" w:rsidP="00F33755">
      <w:pPr>
        <w:pStyle w:val="ListParagraph"/>
        <w:numPr>
          <w:ilvl w:val="3"/>
          <w:numId w:val="1"/>
        </w:numPr>
      </w:pPr>
      <w:r>
        <w:t xml:space="preserve">1 </w:t>
      </w:r>
      <w:proofErr w:type="spellStart"/>
      <w:r>
        <w:t>Pcell</w:t>
      </w:r>
      <w:proofErr w:type="spellEnd"/>
      <w:r>
        <w:t xml:space="preserve"> and 1 activated </w:t>
      </w:r>
      <w:proofErr w:type="spellStart"/>
      <w:r>
        <w:t>SCell</w:t>
      </w:r>
      <w:proofErr w:type="spellEnd"/>
      <w:r>
        <w:t xml:space="preserve"> (f1 and f2)</w:t>
      </w:r>
    </w:p>
    <w:p w:rsidR="00F33755" w:rsidRDefault="00F33755" w:rsidP="00F33755">
      <w:pPr>
        <w:pStyle w:val="ListParagraph"/>
        <w:numPr>
          <w:ilvl w:val="3"/>
          <w:numId w:val="1"/>
        </w:numPr>
      </w:pPr>
      <w:r>
        <w:t># of frequency lay</w:t>
      </w:r>
      <w:r w:rsidR="00F86662">
        <w:t>ers to be monitored: 4 (f3/4/5</w:t>
      </w:r>
      <w:r>
        <w:t>)</w:t>
      </w:r>
    </w:p>
    <w:p w:rsidR="00F33755" w:rsidRDefault="00F33755" w:rsidP="00F33755">
      <w:pPr>
        <w:pStyle w:val="ListParagraph"/>
        <w:numPr>
          <w:ilvl w:val="3"/>
          <w:numId w:val="1"/>
        </w:numPr>
      </w:pPr>
      <w:r>
        <w:t xml:space="preserve">Test metric: measurement delay vs. </w:t>
      </w:r>
      <w:proofErr w:type="spellStart"/>
      <w:r>
        <w:t>N_freq_effective</w:t>
      </w:r>
      <w:proofErr w:type="spellEnd"/>
      <w:r>
        <w:t xml:space="preserve"> scaled measurement delay</w:t>
      </w:r>
    </w:p>
    <w:p w:rsidR="00F33755" w:rsidRDefault="00F33755" w:rsidP="00F33755">
      <w:pPr>
        <w:pStyle w:val="ListParagraph"/>
        <w:numPr>
          <w:ilvl w:val="2"/>
          <w:numId w:val="1"/>
        </w:numPr>
      </w:pPr>
      <w:r>
        <w:t xml:space="preserve">On how to choose f1/2/3/4/5/6 to guarantee </w:t>
      </w:r>
      <w:proofErr w:type="spellStart"/>
      <w:r>
        <w:t>N_freq_effective</w:t>
      </w:r>
      <w:proofErr w:type="spellEnd"/>
      <w:r>
        <w:t xml:space="preserve"> is less than </w:t>
      </w:r>
      <w:proofErr w:type="spellStart"/>
      <w:r>
        <w:t>N_freq</w:t>
      </w:r>
      <w:proofErr w:type="spellEnd"/>
    </w:p>
    <w:p w:rsidR="00F33755" w:rsidRDefault="00F33755" w:rsidP="00F33755">
      <w:pPr>
        <w:pStyle w:val="ListParagraph"/>
        <w:numPr>
          <w:ilvl w:val="3"/>
          <w:numId w:val="1"/>
        </w:numPr>
      </w:pPr>
      <w:r>
        <w:t>Option 1: Manufacture</w:t>
      </w:r>
      <w:r w:rsidR="0097381F">
        <w:t>r</w:t>
      </w:r>
      <w:r>
        <w:t xml:space="preserve"> </w:t>
      </w:r>
      <w:r w:rsidR="004C50C5">
        <w:t>declared f1/2/3/4/5/6 and related test setup</w:t>
      </w:r>
    </w:p>
    <w:p w:rsidR="004C50C5" w:rsidRDefault="004C50C5" w:rsidP="00F33755">
      <w:pPr>
        <w:pStyle w:val="ListParagraph"/>
        <w:numPr>
          <w:ilvl w:val="3"/>
          <w:numId w:val="1"/>
        </w:numPr>
      </w:pPr>
      <w:r>
        <w:t xml:space="preserve">Option 2: Pre-determined f1/2/3/4/5/6 and test setup to strive to reach the object but not guaranteed </w:t>
      </w:r>
    </w:p>
    <w:p w:rsidR="00AE527A" w:rsidRDefault="00AE527A" w:rsidP="00AE527A">
      <w:pPr>
        <w:pStyle w:val="ListParagraph"/>
        <w:numPr>
          <w:ilvl w:val="1"/>
          <w:numId w:val="1"/>
        </w:numPr>
      </w:pPr>
      <w:r>
        <w:t xml:space="preserve">Case 2: Measurement gap configured </w:t>
      </w:r>
      <w:r w:rsidR="00F33755">
        <w:t>only for some of CC</w:t>
      </w:r>
    </w:p>
    <w:p w:rsidR="004C50C5" w:rsidRDefault="004C50C5" w:rsidP="004C50C5">
      <w:pPr>
        <w:pStyle w:val="ListParagraph"/>
        <w:numPr>
          <w:ilvl w:val="2"/>
          <w:numId w:val="1"/>
        </w:numPr>
      </w:pPr>
      <w:r>
        <w:t>Test setup:</w:t>
      </w:r>
    </w:p>
    <w:p w:rsidR="004C50C5" w:rsidRDefault="004C50C5" w:rsidP="004C50C5">
      <w:pPr>
        <w:pStyle w:val="ListParagraph"/>
        <w:numPr>
          <w:ilvl w:val="3"/>
          <w:numId w:val="1"/>
        </w:numPr>
      </w:pPr>
      <w:r>
        <w:t xml:space="preserve">1 </w:t>
      </w:r>
      <w:proofErr w:type="spellStart"/>
      <w:r>
        <w:t>Pcell</w:t>
      </w:r>
      <w:proofErr w:type="spellEnd"/>
      <w:r>
        <w:t xml:space="preserve"> and 1 activated </w:t>
      </w:r>
      <w:proofErr w:type="spellStart"/>
      <w:r>
        <w:t>SCell</w:t>
      </w:r>
      <w:proofErr w:type="spellEnd"/>
      <w:r>
        <w:t xml:space="preserve"> (f1 and f2).</w:t>
      </w:r>
    </w:p>
    <w:p w:rsidR="004C50C5" w:rsidRDefault="004C50C5" w:rsidP="004C50C5">
      <w:pPr>
        <w:pStyle w:val="ListParagraph"/>
        <w:numPr>
          <w:ilvl w:val="4"/>
          <w:numId w:val="1"/>
        </w:numPr>
      </w:pPr>
      <w:r>
        <w:t>No gap is configured for one of them, e.g. measurement gap for f1 and NCSG for f2</w:t>
      </w:r>
    </w:p>
    <w:p w:rsidR="004C50C5" w:rsidRDefault="004C50C5" w:rsidP="004C50C5">
      <w:pPr>
        <w:pStyle w:val="ListParagraph"/>
        <w:numPr>
          <w:ilvl w:val="3"/>
          <w:numId w:val="1"/>
        </w:numPr>
      </w:pPr>
      <w:r>
        <w:t># of frequency layers to be monitored: 1 (f3)</w:t>
      </w:r>
    </w:p>
    <w:p w:rsidR="004C50C5" w:rsidRDefault="004C50C5" w:rsidP="004C50C5">
      <w:pPr>
        <w:pStyle w:val="ListParagraph"/>
        <w:numPr>
          <w:ilvl w:val="3"/>
          <w:numId w:val="1"/>
        </w:numPr>
      </w:pPr>
      <w:r>
        <w:t xml:space="preserve">Test metric: measurement delay </w:t>
      </w:r>
      <w:r w:rsidR="00AF59FA">
        <w:t xml:space="preserve"> and </w:t>
      </w:r>
      <w:proofErr w:type="spellStart"/>
      <w:r w:rsidR="00AF59FA">
        <w:t>Ack</w:t>
      </w:r>
      <w:proofErr w:type="spellEnd"/>
      <w:r w:rsidR="00AF59FA">
        <w:t>/</w:t>
      </w:r>
      <w:proofErr w:type="spellStart"/>
      <w:r w:rsidR="00AF59FA">
        <w:t>Nack</w:t>
      </w:r>
      <w:proofErr w:type="spellEnd"/>
      <w:r w:rsidR="00AF59FA">
        <w:t xml:space="preserve"> loss on f2</w:t>
      </w:r>
    </w:p>
    <w:p w:rsidR="004C50C5" w:rsidRDefault="004C50C5" w:rsidP="004C50C5">
      <w:pPr>
        <w:pStyle w:val="ListParagraph"/>
        <w:numPr>
          <w:ilvl w:val="2"/>
          <w:numId w:val="1"/>
        </w:numPr>
      </w:pPr>
      <w:r>
        <w:t>On how to choose f1/2/3</w:t>
      </w:r>
      <w:r w:rsidR="00AF59FA">
        <w:t xml:space="preserve"> t</w:t>
      </w:r>
      <w:r>
        <w:t xml:space="preserve">o guarantee </w:t>
      </w:r>
      <w:r w:rsidR="00AF59FA">
        <w:t>one of serving cells configured with no measurement gap</w:t>
      </w:r>
    </w:p>
    <w:p w:rsidR="004C50C5" w:rsidRDefault="004C50C5" w:rsidP="004C50C5">
      <w:pPr>
        <w:pStyle w:val="ListParagraph"/>
        <w:numPr>
          <w:ilvl w:val="3"/>
          <w:numId w:val="1"/>
        </w:numPr>
      </w:pPr>
      <w:r>
        <w:lastRenderedPageBreak/>
        <w:t>Option 1: Manufacture</w:t>
      </w:r>
      <w:r w:rsidR="0097381F">
        <w:t>r</w:t>
      </w:r>
      <w:r>
        <w:t xml:space="preserve"> declared</w:t>
      </w:r>
      <w:r w:rsidR="00AF59FA">
        <w:t xml:space="preserve"> f1/2/3</w:t>
      </w:r>
      <w:r>
        <w:t xml:space="preserve"> and related test setup</w:t>
      </w:r>
    </w:p>
    <w:p w:rsidR="004C50C5" w:rsidRDefault="004C50C5" w:rsidP="004C50C5">
      <w:pPr>
        <w:pStyle w:val="ListParagraph"/>
        <w:numPr>
          <w:ilvl w:val="3"/>
          <w:numId w:val="1"/>
        </w:numPr>
      </w:pPr>
      <w:r>
        <w:t>Opt</w:t>
      </w:r>
      <w:r w:rsidR="00AF59FA">
        <w:t>ion 2: Pre-determined f1/2/3</w:t>
      </w:r>
      <w:r>
        <w:t xml:space="preserve"> and test setup to strive to reach the object but not guaranteed </w:t>
      </w:r>
    </w:p>
    <w:p w:rsidR="00FF3742" w:rsidRDefault="00FF3742" w:rsidP="00FF3742">
      <w:pPr>
        <w:ind w:left="720"/>
      </w:pPr>
      <w:r>
        <w:t xml:space="preserve">E///: for case 1, increase number of activated </w:t>
      </w:r>
      <w:proofErr w:type="spellStart"/>
      <w:r>
        <w:t>SCell</w:t>
      </w:r>
      <w:proofErr w:type="spellEnd"/>
      <w:r>
        <w:t xml:space="preserve"> to increase the chance of parallel measurements. Manufacture is at the best position to know the architecture and measurement capability.</w:t>
      </w:r>
    </w:p>
    <w:p w:rsidR="00FF3742" w:rsidRDefault="00FF3742" w:rsidP="00FF3742">
      <w:pPr>
        <w:ind w:left="720"/>
      </w:pPr>
      <w:r>
        <w:t xml:space="preserve">QCOM: slightly prefer to option 1 even though concerning on manufacturer to determine the setup. </w:t>
      </w:r>
    </w:p>
    <w:p w:rsidR="00F86662" w:rsidRDefault="00F86662" w:rsidP="00FF3742">
      <w:pPr>
        <w:ind w:left="720"/>
      </w:pPr>
      <w:r>
        <w:t>R&amp;S: concern on number of layers, SNR and Doppler variation from TE vendor perspective</w:t>
      </w:r>
    </w:p>
    <w:p w:rsidR="003B1DE9" w:rsidRDefault="003B1DE9" w:rsidP="00FF3742">
      <w:pPr>
        <w:ind w:left="720"/>
      </w:pPr>
      <w:r>
        <w:t xml:space="preserve">Anritsu: better to limit the number of layers. </w:t>
      </w:r>
    </w:p>
    <w:p w:rsidR="003B1DE9" w:rsidRDefault="003B1DE9" w:rsidP="00FF3742">
      <w:pPr>
        <w:ind w:left="720"/>
      </w:pPr>
      <w:r>
        <w:t>E///, QCOM, Intel: parallel measurement feature may be triggered depending on # of layers</w:t>
      </w:r>
    </w:p>
    <w:p w:rsidR="003B1DE9" w:rsidRDefault="003B1DE9" w:rsidP="00FF3742">
      <w:pPr>
        <w:ind w:left="720"/>
      </w:pPr>
      <w:r>
        <w:t>Intel: can we leave # of layers as part of manufacturer declaration with per-determined upper bound?</w:t>
      </w:r>
    </w:p>
    <w:p w:rsidR="00DF5A0D" w:rsidRDefault="00DF5A0D" w:rsidP="00FF3742">
      <w:pPr>
        <w:ind w:left="720"/>
      </w:pPr>
      <w:r>
        <w:t>HW: how about to have the signaling test only</w:t>
      </w:r>
    </w:p>
    <w:p w:rsidR="003B1DE9" w:rsidRDefault="003B1DE9" w:rsidP="00FF3742">
      <w:pPr>
        <w:ind w:left="720"/>
      </w:pPr>
      <w:r>
        <w:t>Agreements:</w:t>
      </w:r>
    </w:p>
    <w:p w:rsidR="00743B48" w:rsidRPr="00743B48" w:rsidRDefault="00743B48" w:rsidP="00FE14A7">
      <w:pPr>
        <w:pStyle w:val="ListParagraph"/>
        <w:numPr>
          <w:ilvl w:val="2"/>
          <w:numId w:val="3"/>
        </w:numPr>
        <w:rPr>
          <w:highlight w:val="green"/>
        </w:rPr>
      </w:pPr>
      <w:r w:rsidRPr="00743B48">
        <w:rPr>
          <w:highlight w:val="green"/>
        </w:rPr>
        <w:t>Further study the following options in coming meeting under TEI agenda</w:t>
      </w:r>
    </w:p>
    <w:p w:rsidR="00FE14A7" w:rsidRPr="00743B48" w:rsidRDefault="00DF5A0D" w:rsidP="00743B48">
      <w:pPr>
        <w:pStyle w:val="ListParagraph"/>
        <w:numPr>
          <w:ilvl w:val="3"/>
          <w:numId w:val="3"/>
        </w:numPr>
        <w:rPr>
          <w:highlight w:val="green"/>
        </w:rPr>
      </w:pPr>
      <w:r w:rsidRPr="00743B48">
        <w:rPr>
          <w:highlight w:val="green"/>
        </w:rPr>
        <w:t>Option 1: manufacturer declaration based test, or</w:t>
      </w:r>
    </w:p>
    <w:p w:rsidR="00DF5A0D" w:rsidRPr="00743B48" w:rsidRDefault="00DF5A0D" w:rsidP="00743B48">
      <w:pPr>
        <w:pStyle w:val="ListParagraph"/>
        <w:numPr>
          <w:ilvl w:val="3"/>
          <w:numId w:val="3"/>
        </w:numPr>
        <w:rPr>
          <w:highlight w:val="green"/>
        </w:rPr>
      </w:pPr>
      <w:r w:rsidRPr="00743B48">
        <w:rPr>
          <w:highlight w:val="green"/>
        </w:rPr>
        <w:t>Option 2: signaling/function test only</w:t>
      </w:r>
    </w:p>
    <w:p w:rsidR="00743B48" w:rsidRPr="00743B48" w:rsidRDefault="00743B48" w:rsidP="00743B48">
      <w:pPr>
        <w:pStyle w:val="ListParagraph"/>
        <w:numPr>
          <w:ilvl w:val="3"/>
          <w:numId w:val="3"/>
        </w:numPr>
        <w:rPr>
          <w:highlight w:val="green"/>
        </w:rPr>
      </w:pPr>
      <w:r w:rsidRPr="00743B48">
        <w:rPr>
          <w:highlight w:val="green"/>
        </w:rPr>
        <w:t>Others options are not precluded</w:t>
      </w:r>
    </w:p>
    <w:p w:rsidR="00FE14A7" w:rsidRDefault="00FE14A7" w:rsidP="00FE14A7">
      <w:pPr>
        <w:pStyle w:val="ListParagraph"/>
        <w:numPr>
          <w:ilvl w:val="2"/>
          <w:numId w:val="3"/>
        </w:numPr>
      </w:pPr>
    </w:p>
    <w:p w:rsidR="004F4B67" w:rsidRPr="004F4B67" w:rsidRDefault="004F4B67" w:rsidP="004F4B67">
      <w:pPr>
        <w:pStyle w:val="Heading1"/>
        <w:rPr>
          <w:rFonts w:eastAsia="MS Mincho"/>
          <w:sz w:val="32"/>
          <w:lang w:val="en-US"/>
        </w:rPr>
      </w:pPr>
      <w:r w:rsidRPr="004F4B67">
        <w:rPr>
          <w:rFonts w:eastAsia="MS Mincho"/>
          <w:sz w:val="32"/>
          <w:lang w:val="en-US"/>
        </w:rPr>
        <w:t>Shorten MGL test cases</w:t>
      </w:r>
    </w:p>
    <w:p w:rsidR="00043EA9" w:rsidRPr="00043EA9" w:rsidRDefault="00043EA9" w:rsidP="004F4B67">
      <w:pPr>
        <w:pStyle w:val="ListParagraph"/>
        <w:numPr>
          <w:ilvl w:val="0"/>
          <w:numId w:val="5"/>
        </w:numPr>
      </w:pPr>
      <w:r>
        <w:t xml:space="preserve">How to </w:t>
      </w:r>
      <w:r w:rsidR="00507C71">
        <w:t xml:space="preserve">make sure PSS/SSS of the target cells are within the measurement window (2ms) </w:t>
      </w:r>
    </w:p>
    <w:p w:rsidR="00043EA9" w:rsidRPr="00043EA9" w:rsidRDefault="00043EA9" w:rsidP="004F4B67">
      <w:pPr>
        <w:pStyle w:val="ListParagraph"/>
        <w:numPr>
          <w:ilvl w:val="0"/>
          <w:numId w:val="5"/>
        </w:numPr>
      </w:pPr>
      <w:r>
        <w:rPr>
          <w:b/>
        </w:rPr>
        <w:t>R4-1705844</w:t>
      </w:r>
      <w:r>
        <w:rPr>
          <w:b/>
        </w:rPr>
        <w:tab/>
        <w:t>CR on reduced MGL test case for FDD-FDD</w:t>
      </w:r>
      <w:r w:rsidR="00507C71">
        <w:rPr>
          <w:b/>
        </w:rPr>
        <w:t>, Intel</w:t>
      </w:r>
    </w:p>
    <w:p w:rsidR="00043EA9" w:rsidRDefault="00043EA9" w:rsidP="004F4B67">
      <w:pPr>
        <w:pStyle w:val="ListParagraph"/>
        <w:numPr>
          <w:ilvl w:val="0"/>
          <w:numId w:val="5"/>
        </w:numPr>
      </w:pPr>
      <w:r>
        <w:rPr>
          <w:b/>
        </w:rPr>
        <w:t>R4-1705845</w:t>
      </w:r>
      <w:r>
        <w:rPr>
          <w:b/>
        </w:rPr>
        <w:tab/>
        <w:t>CR on reduced MGL test case for FDD-FDD</w:t>
      </w:r>
      <w:r w:rsidR="00507C71">
        <w:rPr>
          <w:b/>
        </w:rPr>
        <w:t>, Intel</w:t>
      </w:r>
    </w:p>
    <w:p w:rsidR="00043EA9" w:rsidRDefault="00743B48" w:rsidP="00743B48">
      <w:pPr>
        <w:ind w:left="2520"/>
      </w:pPr>
      <w:r>
        <w:t xml:space="preserve">Nokia: only specify that it is an </w:t>
      </w:r>
      <w:proofErr w:type="spellStart"/>
      <w:r>
        <w:t>async</w:t>
      </w:r>
      <w:proofErr w:type="spellEnd"/>
      <w:r>
        <w:t xml:space="preserve"> network and PSS/SSS of the target cell should be within the measurement window (2ms)</w:t>
      </w:r>
    </w:p>
    <w:p w:rsidR="00743B48" w:rsidRDefault="00D45EF0" w:rsidP="00743B48">
      <w:pPr>
        <w:ind w:left="2520"/>
      </w:pPr>
      <w:r>
        <w:t>QCOM: frame boundary difference is 500us.</w:t>
      </w:r>
    </w:p>
    <w:p w:rsidR="00D45EF0" w:rsidRDefault="00D45EF0" w:rsidP="00743B48">
      <w:pPr>
        <w:ind w:left="2520"/>
      </w:pPr>
      <w:r w:rsidRPr="00D45EF0">
        <w:rPr>
          <w:highlight w:val="green"/>
        </w:rPr>
        <w:t>Agreement: frame boundary difference is 500us.</w:t>
      </w:r>
    </w:p>
    <w:p w:rsidR="00E72A2A" w:rsidRDefault="00E72A2A" w:rsidP="004F4B67">
      <w:pPr>
        <w:pStyle w:val="Heading1"/>
      </w:pPr>
      <w:r>
        <w:t>NCSG test cases</w:t>
      </w:r>
    </w:p>
    <w:p w:rsidR="004C50C5" w:rsidRDefault="00E72A2A" w:rsidP="004F4B67">
      <w:pPr>
        <w:pStyle w:val="ListParagraph"/>
        <w:numPr>
          <w:ilvl w:val="0"/>
          <w:numId w:val="6"/>
        </w:numPr>
      </w:pPr>
      <w:r>
        <w:t xml:space="preserve">On how to address </w:t>
      </w:r>
      <w:proofErr w:type="spellStart"/>
      <w:r>
        <w:t>Ack</w:t>
      </w:r>
      <w:proofErr w:type="spellEnd"/>
      <w:r>
        <w:t>/</w:t>
      </w:r>
      <w:proofErr w:type="spellStart"/>
      <w:r>
        <w:t>Nack</w:t>
      </w:r>
      <w:proofErr w:type="spellEnd"/>
      <w:r>
        <w:t xml:space="preserve"> missing rate impact due to PDCCH detection error </w:t>
      </w:r>
    </w:p>
    <w:p w:rsidR="00043EA9" w:rsidRPr="00043EA9" w:rsidRDefault="004F4B67" w:rsidP="004F4B67">
      <w:pPr>
        <w:pStyle w:val="ListParagraph"/>
        <w:numPr>
          <w:ilvl w:val="1"/>
          <w:numId w:val="6"/>
        </w:numPr>
      </w:pPr>
      <w:hyperlink r:id="rId5" w:history="1">
        <w:r w:rsidR="00043EA9">
          <w:rPr>
            <w:rStyle w:val="Hyperlink"/>
            <w:rFonts w:ascii="Arial" w:hAnsi="Arial" w:cs="Arial"/>
            <w:b/>
            <w:sz w:val="24"/>
          </w:rPr>
          <w:t>R4-1704718</w:t>
        </w:r>
      </w:hyperlink>
      <w:r w:rsidR="00043EA9">
        <w:rPr>
          <w:b/>
        </w:rPr>
        <w:tab/>
        <w:t>CR on NCSG for FDD-FDD inter-frequency measurements, Intel</w:t>
      </w:r>
    </w:p>
    <w:p w:rsidR="00043EA9" w:rsidRPr="002745AC" w:rsidRDefault="004F4B67" w:rsidP="004F4B67">
      <w:pPr>
        <w:pStyle w:val="ListParagraph"/>
        <w:numPr>
          <w:ilvl w:val="1"/>
          <w:numId w:val="6"/>
        </w:numPr>
      </w:pPr>
      <w:hyperlink r:id="rId6" w:history="1">
        <w:r w:rsidR="00043EA9">
          <w:rPr>
            <w:rStyle w:val="Hyperlink"/>
            <w:rFonts w:ascii="Arial" w:hAnsi="Arial" w:cs="Arial"/>
            <w:b/>
            <w:sz w:val="24"/>
          </w:rPr>
          <w:t>R4-1704720</w:t>
        </w:r>
      </w:hyperlink>
      <w:r w:rsidR="00043EA9">
        <w:rPr>
          <w:b/>
        </w:rPr>
        <w:tab/>
        <w:t>CR on NCSG for TDD-TDD inter-frequency measurements, Intel</w:t>
      </w:r>
    </w:p>
    <w:p w:rsidR="002745AC" w:rsidRPr="00D45EF0" w:rsidRDefault="004F4B67" w:rsidP="004F4B67">
      <w:pPr>
        <w:pStyle w:val="ListParagraph"/>
        <w:numPr>
          <w:ilvl w:val="1"/>
          <w:numId w:val="6"/>
        </w:numPr>
      </w:pPr>
      <w:hyperlink r:id="rId7" w:history="1">
        <w:r w:rsidR="002745AC">
          <w:rPr>
            <w:rStyle w:val="Hyperlink"/>
            <w:rFonts w:ascii="Arial" w:hAnsi="Arial" w:cs="Arial"/>
            <w:b/>
            <w:sz w:val="24"/>
          </w:rPr>
          <w:t>R4-1705754</w:t>
        </w:r>
      </w:hyperlink>
      <w:r w:rsidR="002745AC">
        <w:rPr>
          <w:b/>
        </w:rPr>
        <w:tab/>
        <w:t>Introduction of test case for NCSG</w:t>
      </w:r>
    </w:p>
    <w:p w:rsidR="00D45EF0" w:rsidRDefault="00D45EF0" w:rsidP="00D45EF0">
      <w:pPr>
        <w:pStyle w:val="ListParagraph"/>
      </w:pPr>
      <w:r w:rsidRPr="00D45EF0">
        <w:rPr>
          <w:b/>
          <w:highlight w:val="green"/>
        </w:rPr>
        <w:lastRenderedPageBreak/>
        <w:t xml:space="preserve">Agreement: serving cell AWGN and SNR=16dB, 0% </w:t>
      </w:r>
      <w:proofErr w:type="spellStart"/>
      <w:r w:rsidRPr="00D45EF0">
        <w:rPr>
          <w:b/>
          <w:highlight w:val="green"/>
        </w:rPr>
        <w:t>ack</w:t>
      </w:r>
      <w:proofErr w:type="spellEnd"/>
      <w:r w:rsidRPr="00D45EF0">
        <w:rPr>
          <w:b/>
          <w:highlight w:val="green"/>
        </w:rPr>
        <w:t>/</w:t>
      </w:r>
      <w:proofErr w:type="spellStart"/>
      <w:r w:rsidRPr="00D45EF0">
        <w:rPr>
          <w:b/>
          <w:highlight w:val="green"/>
        </w:rPr>
        <w:t>nack</w:t>
      </w:r>
      <w:proofErr w:type="spellEnd"/>
      <w:r w:rsidRPr="00D45EF0">
        <w:rPr>
          <w:b/>
          <w:highlight w:val="green"/>
        </w:rPr>
        <w:t xml:space="preserve"> missing rate, target cell SNR is the </w:t>
      </w:r>
      <w:proofErr w:type="gramStart"/>
      <w:r w:rsidRPr="00D45EF0">
        <w:rPr>
          <w:b/>
          <w:highlight w:val="green"/>
        </w:rPr>
        <w:t>same</w:t>
      </w:r>
      <w:proofErr w:type="gramEnd"/>
      <w:r w:rsidRPr="00D45EF0">
        <w:rPr>
          <w:b/>
          <w:highlight w:val="green"/>
        </w:rPr>
        <w:t xml:space="preserve"> as existing test case</w:t>
      </w:r>
    </w:p>
    <w:p w:rsidR="00043EA9" w:rsidRDefault="00225BDC" w:rsidP="004F4B67">
      <w:pPr>
        <w:pStyle w:val="Heading1"/>
      </w:pPr>
      <w:r>
        <w:t>Burst gap test cases</w:t>
      </w:r>
    </w:p>
    <w:p w:rsidR="00043EA9" w:rsidRPr="00D45EF0" w:rsidRDefault="004F4B67" w:rsidP="004F4B67">
      <w:pPr>
        <w:pStyle w:val="ListParagraph"/>
        <w:numPr>
          <w:ilvl w:val="0"/>
          <w:numId w:val="6"/>
        </w:numPr>
      </w:pPr>
      <w:hyperlink r:id="rId8" w:history="1">
        <w:r w:rsidR="00043EA9">
          <w:rPr>
            <w:rStyle w:val="Hyperlink"/>
            <w:rFonts w:ascii="Arial" w:hAnsi="Arial" w:cs="Arial"/>
            <w:b/>
            <w:sz w:val="24"/>
          </w:rPr>
          <w:t>R4-1705753</w:t>
        </w:r>
      </w:hyperlink>
      <w:r w:rsidR="00043EA9">
        <w:rPr>
          <w:b/>
        </w:rPr>
        <w:tab/>
        <w:t>Introduction of test case for Burst gap, Qualcomm</w:t>
      </w:r>
    </w:p>
    <w:p w:rsidR="00D45EF0" w:rsidRDefault="00D45EF0" w:rsidP="004F4B67">
      <w:pPr>
        <w:pStyle w:val="ListParagraph"/>
        <w:numPr>
          <w:ilvl w:val="0"/>
          <w:numId w:val="6"/>
        </w:numPr>
      </w:pPr>
      <w:r w:rsidRPr="00D45EF0">
        <w:rPr>
          <w:b/>
          <w:highlight w:val="green"/>
        </w:rPr>
        <w:t xml:space="preserve">Agreement: serving cell AWGN and SNR=16dB, 0% </w:t>
      </w:r>
      <w:proofErr w:type="spellStart"/>
      <w:r w:rsidRPr="00D45EF0">
        <w:rPr>
          <w:b/>
          <w:highlight w:val="green"/>
        </w:rPr>
        <w:t>ack</w:t>
      </w:r>
      <w:proofErr w:type="spellEnd"/>
      <w:r w:rsidRPr="00D45EF0">
        <w:rPr>
          <w:b/>
          <w:highlight w:val="green"/>
        </w:rPr>
        <w:t>/</w:t>
      </w:r>
      <w:proofErr w:type="spellStart"/>
      <w:r w:rsidRPr="00D45EF0">
        <w:rPr>
          <w:b/>
          <w:highlight w:val="green"/>
        </w:rPr>
        <w:t>nack</w:t>
      </w:r>
      <w:proofErr w:type="spellEnd"/>
      <w:r w:rsidRPr="00D45EF0">
        <w:rPr>
          <w:b/>
          <w:highlight w:val="green"/>
        </w:rPr>
        <w:t xml:space="preserve"> missing rate, target cell SNR is the same as existing test case</w:t>
      </w:r>
    </w:p>
    <w:p w:rsidR="00B729DE" w:rsidRPr="00B729DE" w:rsidRDefault="00B729DE" w:rsidP="004F4B67">
      <w:pPr>
        <w:pStyle w:val="ListParagraph"/>
        <w:numPr>
          <w:ilvl w:val="0"/>
          <w:numId w:val="6"/>
        </w:numPr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I</w:t>
      </w:r>
      <w:r w:rsidRPr="00B729DE">
        <w:rPr>
          <w:rFonts w:ascii="Calibri" w:hAnsi="Calibri"/>
          <w:lang w:eastAsia="en-US"/>
        </w:rPr>
        <w:t>nterruption requirement for NCSG-based inter-frequency/inter-RAT measurement, regarding the CR</w:t>
      </w:r>
    </w:p>
    <w:p w:rsidR="00B729DE" w:rsidRPr="00B729DE" w:rsidRDefault="004F4B67" w:rsidP="004F4B67">
      <w:pPr>
        <w:pStyle w:val="ListParagraph"/>
        <w:numPr>
          <w:ilvl w:val="0"/>
          <w:numId w:val="6"/>
        </w:numPr>
        <w:rPr>
          <w:rFonts w:ascii="Times New Roman" w:hAnsi="Times New Roman"/>
          <w:i/>
          <w:iCs/>
          <w:sz w:val="20"/>
          <w:szCs w:val="20"/>
          <w:lang w:eastAsia="ko-KR"/>
        </w:rPr>
      </w:pPr>
      <w:hyperlink r:id="rId9" w:history="1">
        <w:r w:rsidR="00B729DE" w:rsidRPr="00B729DE">
          <w:rPr>
            <w:rStyle w:val="Hyperlink"/>
            <w:rFonts w:ascii="Arial" w:hAnsi="Arial" w:cs="Arial"/>
            <w:b/>
            <w:bCs/>
            <w:sz w:val="24"/>
            <w:szCs w:val="24"/>
          </w:rPr>
          <w:t>R4-1705843</w:t>
        </w:r>
      </w:hyperlink>
      <w:r w:rsidR="00B729DE" w:rsidRPr="00B729DE">
        <w:rPr>
          <w:b/>
          <w:bCs/>
        </w:rPr>
        <w:t>  Introduction of interruption control for Network Controlled Short Gap pattern for inter-frequency measurements</w:t>
      </w:r>
      <w:r w:rsidR="00B729DE" w:rsidRPr="00B729DE">
        <w:rPr>
          <w:b/>
          <w:bCs/>
        </w:rPr>
        <w:br/>
      </w:r>
      <w:r w:rsidR="00B729DE">
        <w:t>36.133     CR-4951  rev  Cat: B (Rel-14) v14.3.0</w:t>
      </w:r>
      <w:r w:rsidR="00B729DE">
        <w:br/>
      </w:r>
      <w:r w:rsidR="00B729DE" w:rsidRPr="00B729DE">
        <w:rPr>
          <w:i/>
          <w:iCs/>
        </w:rPr>
        <w:t xml:space="preserve"> Source: Nokia, Alcatel-Lucent Shanghai Bell</w:t>
      </w:r>
    </w:p>
    <w:p w:rsidR="00225BDC" w:rsidRDefault="00225BDC" w:rsidP="004F4B67">
      <w:pPr>
        <w:pStyle w:val="Heading1"/>
      </w:pPr>
      <w:r>
        <w:t>UE capability</w:t>
      </w:r>
    </w:p>
    <w:p w:rsidR="00225BDC" w:rsidRPr="004E296C" w:rsidRDefault="00225BDC" w:rsidP="00225BDC">
      <w:pPr>
        <w:pStyle w:val="ListParagraph"/>
        <w:numPr>
          <w:ilvl w:val="1"/>
          <w:numId w:val="1"/>
        </w:numPr>
        <w:rPr>
          <w:highlight w:val="green"/>
        </w:rPr>
      </w:pPr>
      <w:r w:rsidRPr="004E296C">
        <w:rPr>
          <w:highlight w:val="green"/>
        </w:rPr>
        <w:t xml:space="preserve">Per-CC gap: </w:t>
      </w:r>
      <w:r w:rsidR="004E296C">
        <w:rPr>
          <w:highlight w:val="green"/>
        </w:rPr>
        <w:t xml:space="preserve">per-UE </w:t>
      </w:r>
      <w:r w:rsidRPr="004E296C">
        <w:rPr>
          <w:highlight w:val="green"/>
        </w:rPr>
        <w:t>optional</w:t>
      </w:r>
      <w:r w:rsidR="004E296C">
        <w:rPr>
          <w:highlight w:val="green"/>
        </w:rPr>
        <w:t xml:space="preserve"> feature</w:t>
      </w:r>
    </w:p>
    <w:p w:rsidR="004E296C" w:rsidRPr="004E296C" w:rsidRDefault="00225BDC" w:rsidP="004E296C">
      <w:pPr>
        <w:pStyle w:val="ListParagraph"/>
        <w:numPr>
          <w:ilvl w:val="1"/>
          <w:numId w:val="1"/>
        </w:numPr>
        <w:rPr>
          <w:highlight w:val="green"/>
        </w:rPr>
      </w:pPr>
      <w:r w:rsidRPr="004E296C">
        <w:rPr>
          <w:highlight w:val="green"/>
        </w:rPr>
        <w:t xml:space="preserve">Shorter MGL: </w:t>
      </w:r>
      <w:r w:rsidR="004E296C">
        <w:rPr>
          <w:highlight w:val="green"/>
        </w:rPr>
        <w:t xml:space="preserve">per-UE </w:t>
      </w:r>
      <w:r w:rsidR="004E296C" w:rsidRPr="004E296C">
        <w:rPr>
          <w:highlight w:val="green"/>
        </w:rPr>
        <w:t>optional</w:t>
      </w:r>
      <w:r w:rsidR="004E296C">
        <w:rPr>
          <w:highlight w:val="green"/>
        </w:rPr>
        <w:t xml:space="preserve"> feature</w:t>
      </w:r>
    </w:p>
    <w:p w:rsidR="004E296C" w:rsidRPr="004E296C" w:rsidRDefault="00225BDC" w:rsidP="004E296C">
      <w:pPr>
        <w:pStyle w:val="ListParagraph"/>
        <w:numPr>
          <w:ilvl w:val="1"/>
          <w:numId w:val="1"/>
        </w:numPr>
        <w:rPr>
          <w:highlight w:val="green"/>
        </w:rPr>
      </w:pPr>
      <w:r w:rsidRPr="004E296C">
        <w:rPr>
          <w:highlight w:val="green"/>
        </w:rPr>
        <w:t xml:space="preserve">NCSG: </w:t>
      </w:r>
      <w:r w:rsidR="004E296C">
        <w:rPr>
          <w:highlight w:val="green"/>
        </w:rPr>
        <w:t xml:space="preserve">per-UE </w:t>
      </w:r>
      <w:r w:rsidR="004E296C" w:rsidRPr="004E296C">
        <w:rPr>
          <w:highlight w:val="green"/>
        </w:rPr>
        <w:t>optional</w:t>
      </w:r>
      <w:r w:rsidR="004E296C">
        <w:rPr>
          <w:highlight w:val="green"/>
        </w:rPr>
        <w:t xml:space="preserve"> feature</w:t>
      </w:r>
    </w:p>
    <w:p w:rsidR="00225BDC" w:rsidRPr="004F4B67" w:rsidRDefault="00225BDC" w:rsidP="00CD3709">
      <w:pPr>
        <w:pStyle w:val="ListParagraph"/>
        <w:numPr>
          <w:ilvl w:val="1"/>
          <w:numId w:val="1"/>
        </w:numPr>
        <w:rPr>
          <w:highlight w:val="green"/>
        </w:rPr>
      </w:pPr>
      <w:r w:rsidRPr="004F4B67">
        <w:rPr>
          <w:highlight w:val="green"/>
        </w:rPr>
        <w:t xml:space="preserve">Burst gap: </w:t>
      </w:r>
      <w:r w:rsidR="004E296C" w:rsidRPr="004F4B67">
        <w:rPr>
          <w:highlight w:val="green"/>
        </w:rPr>
        <w:t>per-UE optional feature</w:t>
      </w:r>
    </w:p>
    <w:sectPr w:rsidR="00225BDC" w:rsidRPr="004F4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F5939"/>
    <w:multiLevelType w:val="hybridMultilevel"/>
    <w:tmpl w:val="A9A23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D9D526A"/>
    <w:multiLevelType w:val="hybridMultilevel"/>
    <w:tmpl w:val="FA02C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64A28"/>
    <w:multiLevelType w:val="hybridMultilevel"/>
    <w:tmpl w:val="AADC59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087E0C"/>
    <w:multiLevelType w:val="hybridMultilevel"/>
    <w:tmpl w:val="AA60D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B2C2E"/>
    <w:multiLevelType w:val="hybridMultilevel"/>
    <w:tmpl w:val="19D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27A"/>
    <w:rsid w:val="00043EA9"/>
    <w:rsid w:val="00225BDC"/>
    <w:rsid w:val="002745AC"/>
    <w:rsid w:val="003B1DE9"/>
    <w:rsid w:val="004C50C5"/>
    <w:rsid w:val="004E296C"/>
    <w:rsid w:val="004F4B67"/>
    <w:rsid w:val="00507C71"/>
    <w:rsid w:val="00571789"/>
    <w:rsid w:val="005D1BDC"/>
    <w:rsid w:val="00616614"/>
    <w:rsid w:val="00743B48"/>
    <w:rsid w:val="0097381F"/>
    <w:rsid w:val="00AE527A"/>
    <w:rsid w:val="00AF59FA"/>
    <w:rsid w:val="00B729DE"/>
    <w:rsid w:val="00BD4DDB"/>
    <w:rsid w:val="00C53625"/>
    <w:rsid w:val="00D45EF0"/>
    <w:rsid w:val="00DF5A0D"/>
    <w:rsid w:val="00E72A2A"/>
    <w:rsid w:val="00F33755"/>
    <w:rsid w:val="00F75D1B"/>
    <w:rsid w:val="00F86662"/>
    <w:rsid w:val="00FC36C9"/>
    <w:rsid w:val="00FE14A7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E2B945-6705-4F47-9C9B-C6709AD1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4F4B67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F4B6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F4B6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F4B6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F4B67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F4B67"/>
    <w:pPr>
      <w:keepNext/>
      <w:keepLines/>
      <w:numPr>
        <w:ilvl w:val="6"/>
        <w:numId w:val="4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F4B67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F4B6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AE527A"/>
  </w:style>
  <w:style w:type="character" w:customStyle="1" w:styleId="DateChar">
    <w:name w:val="Date Char"/>
    <w:basedOn w:val="DefaultParagraphFont"/>
    <w:link w:val="Date"/>
    <w:uiPriority w:val="99"/>
    <w:semiHidden/>
    <w:rsid w:val="00AE527A"/>
  </w:style>
  <w:style w:type="paragraph" w:styleId="ListParagraph">
    <w:name w:val="List Paragraph"/>
    <w:basedOn w:val="Normal"/>
    <w:uiPriority w:val="34"/>
    <w:qFormat/>
    <w:rsid w:val="00AE527A"/>
    <w:pPr>
      <w:ind w:left="720"/>
      <w:contextualSpacing/>
    </w:pPr>
  </w:style>
  <w:style w:type="character" w:styleId="Hyperlink">
    <w:name w:val="Hyperlink"/>
    <w:uiPriority w:val="99"/>
    <w:unhideWhenUsed/>
    <w:rsid w:val="00043EA9"/>
    <w:rPr>
      <w:color w:val="0000FF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semiHidden/>
    <w:locked/>
    <w:rsid w:val="004F4B67"/>
    <w:rPr>
      <w:rFonts w:ascii="Arial" w:hAnsi="Arial" w:cs="Arial"/>
      <w:b/>
      <w:noProof/>
      <w:sz w:val="18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semiHidden/>
    <w:unhideWhenUsed/>
    <w:rsid w:val="004F4B67"/>
    <w:pPr>
      <w:widowControl w:val="0"/>
      <w:spacing w:after="0" w:line="240" w:lineRule="auto"/>
    </w:pPr>
    <w:rPr>
      <w:rFonts w:ascii="Arial" w:hAnsi="Arial" w:cs="Arial"/>
      <w:b/>
      <w:noProof/>
      <w:sz w:val="18"/>
      <w:lang w:eastAsia="en-US"/>
    </w:rPr>
  </w:style>
  <w:style w:type="character" w:customStyle="1" w:styleId="HeaderChar1">
    <w:name w:val="Header Char1"/>
    <w:basedOn w:val="DefaultParagraphFont"/>
    <w:uiPriority w:val="99"/>
    <w:semiHidden/>
    <w:rsid w:val="004F4B67"/>
  </w:style>
  <w:style w:type="paragraph" w:styleId="Footer">
    <w:name w:val="footer"/>
    <w:basedOn w:val="Header"/>
    <w:link w:val="FooterChar"/>
    <w:semiHidden/>
    <w:unhideWhenUsed/>
    <w:rsid w:val="004F4B6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F4B67"/>
    <w:rPr>
      <w:rFonts w:ascii="Arial" w:hAnsi="Arial" w:cs="Arial"/>
      <w:b/>
      <w:i/>
      <w:noProof/>
      <w:sz w:val="18"/>
      <w:lang w:eastAsia="en-US"/>
    </w:rPr>
  </w:style>
  <w:style w:type="character" w:customStyle="1" w:styleId="CRCoverPageChar">
    <w:name w:val="CR Cover Page Char"/>
    <w:link w:val="CRCoverPage"/>
    <w:locked/>
    <w:rsid w:val="004F4B67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Char"/>
    <w:rsid w:val="004F4B67"/>
    <w:pPr>
      <w:spacing w:after="120" w:line="240" w:lineRule="auto"/>
    </w:pPr>
    <w:rPr>
      <w:rFonts w:ascii="Arial" w:hAnsi="Arial" w:cs="Arial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4F4B6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4F4B6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4F4B6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4F4B6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4F4B6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4F4B6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4F4B6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4F4B67"/>
    <w:rPr>
      <w:rFonts w:ascii="Arial" w:eastAsia="MS Mincho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:/Docs/R4-1705753.zip" TargetMode="External"/><Relationship Id="rId3" Type="http://schemas.openxmlformats.org/officeDocument/2006/relationships/settings" Target="settings.xml"/><Relationship Id="rId7" Type="http://schemas.openxmlformats.org/officeDocument/2006/relationships/hyperlink" Target="D:/Docs/R4-170575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D:/Docs/R4-1704720.zip" TargetMode="External"/><Relationship Id="rId11" Type="http://schemas.openxmlformats.org/officeDocument/2006/relationships/theme" Target="theme/theme1.xml"/><Relationship Id="rId5" Type="http://schemas.openxmlformats.org/officeDocument/2006/relationships/hyperlink" Target="D:/Docs/R4-1704718.zi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Docs\R4-17058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Tang, Yang</dc:creator>
  <cp:keywords/>
  <dc:description/>
  <cp:lastModifiedBy>Tang, Yang</cp:lastModifiedBy>
  <cp:revision>2</cp:revision>
  <dcterms:created xsi:type="dcterms:W3CDTF">2017-05-19T00:29:00Z</dcterms:created>
  <dcterms:modified xsi:type="dcterms:W3CDTF">2017-05-19T00:29:00Z</dcterms:modified>
</cp:coreProperties>
</file>